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E1" w:rsidRDefault="00E114E1" w:rsidP="00FA4259">
      <w:pPr>
        <w:pStyle w:val="a9"/>
        <w:spacing w:after="240" w:afterAutospacing="0"/>
        <w:ind w:left="360"/>
        <w:rPr>
          <w:b/>
        </w:rPr>
      </w:pPr>
      <w:bookmarkStart w:id="0" w:name="_GoBack"/>
      <w:r w:rsidRPr="00E114E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-1604009</wp:posOffset>
            </wp:positionH>
            <wp:positionV relativeFrom="paragraph">
              <wp:posOffset>-184785</wp:posOffset>
            </wp:positionV>
            <wp:extent cx="11144250" cy="7105650"/>
            <wp:effectExtent l="0" t="0" r="0" b="0"/>
            <wp:wrapSquare wrapText="bothSides"/>
            <wp:docPr id="1" name="Рисунок 1" descr="D:\SCAN_00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ответственного отношения к учению, </w:t>
      </w:r>
      <w:r w:rsidR="005F35F6" w:rsidRPr="00AE2561">
        <w:rPr>
          <w:rStyle w:val="dash041e005f0431005f044b005f0447005f043d005f044b005f0439005f005fchar1char1"/>
        </w:rPr>
        <w:t>готовности и способности,</w:t>
      </w:r>
      <w:r w:rsidRPr="00AE256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</w:t>
      </w:r>
      <w:r w:rsidR="00837DA8" w:rsidRPr="00AE2561">
        <w:rPr>
          <w:rStyle w:val="dash041e005f0431005f044b005f0447005f043d005f044b005f0439005f005fchar1char1"/>
        </w:rPr>
        <w:t>познанию, осознанному</w:t>
      </w:r>
      <w:r w:rsidRPr="00AE2561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637E1" w:rsidRPr="00AE2561" w:rsidRDefault="00B2120B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Формирование</w:t>
      </w:r>
      <w:r w:rsidR="006637E1" w:rsidRPr="00AE256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637E1" w:rsidRPr="00AE2561" w:rsidRDefault="006637E1" w:rsidP="00FA42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E2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FB6" w:rsidRPr="00C35FB6" w:rsidRDefault="006637E1" w:rsidP="005F35F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AE2561">
        <w:rPr>
          <w:rStyle w:val="dash041e005f0431005f044b005f0447005f043d005f044b005f0439005f005fchar1char1"/>
        </w:rPr>
        <w:t> </w:t>
      </w:r>
      <w:r w:rsidR="005F35F6" w:rsidRPr="005F35F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C35FB6" w:rsidRPr="00C35FB6" w:rsidRDefault="005F35F6" w:rsidP="005F35F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  <w:r w:rsidRPr="005F35F6">
        <w:br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C35FB6" w:rsidRPr="00C35FB6" w:rsidRDefault="005F35F6" w:rsidP="005F35F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C35FB6" w:rsidRPr="00C35FB6" w:rsidRDefault="005F35F6" w:rsidP="005F35F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выводы.</w:t>
      </w:r>
    </w:p>
    <w:p w:rsidR="00C35FB6" w:rsidRPr="00C35FB6" w:rsidRDefault="005F35F6" w:rsidP="005F35F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C35FB6" w:rsidRPr="00C35FB6" w:rsidRDefault="005F35F6" w:rsidP="00A2785E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организовывать учебное сотрудничество и сов</w:t>
      </w:r>
      <w:r w:rsidR="00C35FB6">
        <w:t>местную деятельность с учителем.</w:t>
      </w:r>
    </w:p>
    <w:p w:rsidR="00C35FB6" w:rsidRPr="00C35FB6" w:rsidRDefault="005F35F6" w:rsidP="00A2785E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 xml:space="preserve">Формирование и развитие учебной и </w:t>
      </w:r>
      <w:r w:rsidR="00C35FB6" w:rsidRPr="005F35F6">
        <w:t>обще пользовательской</w:t>
      </w:r>
      <w:r w:rsidRPr="005F35F6">
        <w:t xml:space="preserve"> компетентности в области использования информационно-коммуникационных технологий (ИКТ - компетентности</w:t>
      </w:r>
      <w:r w:rsidR="001E48A2" w:rsidRPr="005F35F6">
        <w:t>). Первоначальные</w:t>
      </w:r>
      <w:r w:rsidRPr="005F35F6">
        <w:t xml:space="preserve">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C35FB6" w:rsidRPr="00C35FB6" w:rsidRDefault="005F35F6" w:rsidP="00A2785E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видеть математическую задачу в контексте проблемной ситуации в других дисциплинах. в окружающей жизни.</w:t>
      </w:r>
    </w:p>
    <w:p w:rsidR="00C35FB6" w:rsidRPr="00C35FB6" w:rsidRDefault="005F35F6" w:rsidP="00A2785E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C35FB6" w:rsidRPr="00C35FB6" w:rsidRDefault="005F35F6" w:rsidP="00A2785E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5F35F6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C35FB6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</w:pPr>
      <w:r w:rsidRPr="00C35FB6">
        <w:lastRenderedPageBreak/>
        <w:t>Расширение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:rsidR="00C35FB6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</w:pPr>
      <w:r w:rsidRPr="00C35FB6">
        <w:t>Овладение базовым понятийным аппаратом по основным разделам содержания; представление об основных изучаемых понятиях (число, степень, уравнение, система уравнений, неравенство, система неравенств, график, пропорция) как важнейших математических моделях, позволяющих описывать и изучать реальные процессы и явления.</w:t>
      </w:r>
    </w:p>
    <w:p w:rsidR="00C35FB6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</w:pPr>
      <w:r w:rsidRPr="00C35FB6"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C35FB6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</w:pPr>
      <w:r w:rsidRPr="00C35FB6">
        <w:t>Овладение навыками устных, письменных, инструментальных вычислений.</w:t>
      </w:r>
    </w:p>
    <w:p w:rsidR="00C35FB6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</w:pPr>
      <w:r w:rsidRPr="00C35FB6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A4259" w:rsidRPr="00796C1A" w:rsidRDefault="00C35FB6" w:rsidP="00C35FB6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C35FB6">
        <w:t>Процесс обучения математике направлен на формирование у учащихся приемов умственной деятельности: анализа и синтеза, сравнения, классификации, обобщения и абстрагирования. В основу составления учебных заданий положены идеи изменения, соответствия, правила и зависимости. С психолого-методологической точки зрения они позволяют организовать обучение с опорой на опыт школьников основного звена, на их предметно-действенное и наглядно-образное мышление. Эти идеи дают возможность постепенно вводить детей в мир теоретических знаний и способствовать тем самым развитию как эмпирического, так и теоретического мышления. С точки зрения образования вышеуказанные идеи являются основой для дальнейшего изучения закономерностей и зависимостей окружающего мира в их различных интерпретациях.</w:t>
      </w:r>
    </w:p>
    <w:p w:rsidR="006637E1" w:rsidRPr="00AE2561" w:rsidRDefault="006637E1" w:rsidP="006637E1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FB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6637E1" w:rsidRPr="00AE2561" w:rsidRDefault="004A03F2" w:rsidP="006637E1">
      <w:pPr>
        <w:tabs>
          <w:tab w:val="num" w:pos="900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C35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5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пределах 100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5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арифметические действия с ними</w:t>
      </w:r>
      <w:r w:rsidR="00D540B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837DA8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18</w:t>
      </w:r>
      <w:r w:rsidR="006637E1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ов</w:t>
      </w:r>
      <w:r w:rsidR="006637E1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). </w:t>
      </w:r>
    </w:p>
    <w:p w:rsidR="004A03F2" w:rsidRPr="004A03F2" w:rsidRDefault="004A03F2" w:rsidP="004A03F2">
      <w:pPr>
        <w:spacing w:after="0"/>
        <w:jc w:val="both"/>
        <w:rPr>
          <w:rStyle w:val="20"/>
          <w:sz w:val="24"/>
          <w:szCs w:val="24"/>
        </w:rPr>
      </w:pPr>
      <w:r w:rsidRPr="004A03F2">
        <w:rPr>
          <w:rStyle w:val="20"/>
          <w:sz w:val="24"/>
          <w:szCs w:val="24"/>
        </w:rPr>
        <w:t>Присчитывание и отсчитывание по 1 единице, 1 деся</w:t>
      </w:r>
      <w:r>
        <w:rPr>
          <w:rStyle w:val="20"/>
          <w:sz w:val="24"/>
          <w:szCs w:val="24"/>
        </w:rPr>
        <w:t>тку, 1 сотне тысяч в пределах 1</w:t>
      </w:r>
      <w:r w:rsidRPr="004A03F2">
        <w:rPr>
          <w:rStyle w:val="20"/>
          <w:sz w:val="24"/>
          <w:szCs w:val="24"/>
        </w:rPr>
        <w:t>00 000, устно, с записью получаемых при счете чисел, с использованием счетов.</w:t>
      </w:r>
      <w:r>
        <w:rPr>
          <w:rStyle w:val="20"/>
          <w:sz w:val="24"/>
          <w:szCs w:val="24"/>
        </w:rPr>
        <w:t xml:space="preserve"> </w:t>
      </w:r>
      <w:r w:rsidRPr="004A03F2">
        <w:rPr>
          <w:rStyle w:val="20"/>
          <w:sz w:val="24"/>
          <w:szCs w:val="24"/>
        </w:rPr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</w:t>
      </w:r>
      <w:r>
        <w:rPr>
          <w:rStyle w:val="20"/>
          <w:sz w:val="24"/>
          <w:szCs w:val="24"/>
        </w:rPr>
        <w:t>1</w:t>
      </w:r>
      <w:r w:rsidRPr="004A03F2">
        <w:rPr>
          <w:rStyle w:val="20"/>
          <w:sz w:val="24"/>
          <w:szCs w:val="24"/>
        </w:rPr>
        <w:t>00 000. Проверка арифметических действий. Сложение и вычитание чисел с помощью калькулятора.</w:t>
      </w:r>
    </w:p>
    <w:p w:rsidR="006637E1" w:rsidRDefault="006637E1" w:rsidP="006637E1">
      <w:pPr>
        <w:tabs>
          <w:tab w:val="num" w:pos="900"/>
        </w:tabs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AE2561">
        <w:rPr>
          <w:rFonts w:ascii="Times New Roman" w:hAnsi="Times New Roman" w:cs="Times New Roman"/>
          <w:i/>
          <w:sz w:val="24"/>
          <w:szCs w:val="24"/>
        </w:rPr>
        <w:t>Контрольная работа № 1 по теме: «</w:t>
      </w:r>
      <w:r w:rsidR="004A03F2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Арифметические действия с многозначными числами</w:t>
      </w:r>
      <w:r w:rsidR="00837DA8" w:rsidRPr="00D540BE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»</w:t>
      </w:r>
    </w:p>
    <w:p w:rsidR="006637E1" w:rsidRPr="00AE2561" w:rsidRDefault="004A03F2" w:rsidP="006637E1">
      <w:pPr>
        <w:tabs>
          <w:tab w:val="num" w:pos="900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Десятичные дроби</w:t>
      </w:r>
      <w:r w:rsidR="00837DA8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E15A53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="006637E1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часов). </w:t>
      </w:r>
    </w:p>
    <w:p w:rsidR="004A03F2" w:rsidRPr="004A03F2" w:rsidRDefault="004A03F2" w:rsidP="004A03F2">
      <w:pPr>
        <w:tabs>
          <w:tab w:val="num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A03F2">
        <w:rPr>
          <w:rFonts w:ascii="Times New Roman" w:hAnsi="Times New Roman" w:cs="Times New Roman"/>
          <w:color w:val="000000"/>
          <w:sz w:val="24"/>
          <w:szCs w:val="24"/>
        </w:rPr>
        <w:t>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3F2">
        <w:rPr>
          <w:rFonts w:ascii="Times New Roman" w:hAnsi="Times New Roman" w:cs="Times New Roman"/>
          <w:color w:val="000000"/>
          <w:sz w:val="24"/>
          <w:szCs w:val="24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6637E1" w:rsidRPr="00AE2561" w:rsidRDefault="006637E1" w:rsidP="006637E1">
      <w:pPr>
        <w:tabs>
          <w:tab w:val="num" w:pos="900"/>
        </w:tabs>
        <w:rPr>
          <w:rFonts w:ascii="Times New Roman" w:hAnsi="Times New Roman" w:cs="Times New Roman"/>
          <w:i/>
          <w:sz w:val="24"/>
          <w:szCs w:val="24"/>
        </w:rPr>
      </w:pPr>
      <w:r w:rsidRPr="00AE2561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</w:t>
      </w:r>
      <w:r w:rsidR="004A03F2">
        <w:rPr>
          <w:rFonts w:ascii="Times New Roman" w:hAnsi="Times New Roman" w:cs="Times New Roman"/>
          <w:i/>
          <w:sz w:val="24"/>
          <w:szCs w:val="24"/>
        </w:rPr>
        <w:t>2</w:t>
      </w:r>
      <w:r w:rsidRPr="00AE2561">
        <w:rPr>
          <w:rFonts w:ascii="Times New Roman" w:hAnsi="Times New Roman" w:cs="Times New Roman"/>
          <w:i/>
          <w:sz w:val="24"/>
          <w:szCs w:val="24"/>
        </w:rPr>
        <w:t xml:space="preserve"> по теме: «</w:t>
      </w:r>
      <w:r w:rsidR="004A03F2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Арифметические действия с десятичными дробями</w:t>
      </w:r>
      <w:r w:rsidRPr="00AE2561">
        <w:rPr>
          <w:rFonts w:ascii="Times New Roman" w:hAnsi="Times New Roman" w:cs="Times New Roman"/>
          <w:i/>
          <w:sz w:val="24"/>
          <w:szCs w:val="24"/>
        </w:rPr>
        <w:t>»</w:t>
      </w:r>
    </w:p>
    <w:p w:rsidR="006637E1" w:rsidRPr="00AE2561" w:rsidRDefault="00A52B58" w:rsidP="006637E1">
      <w:pPr>
        <w:tabs>
          <w:tab w:val="num" w:pos="900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Числа, полученные при измерении величин</w:t>
      </w:r>
      <w:r w:rsidR="00906CDB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37DA8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="00E15A53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="006637E1" w:rsidRPr="00AE25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часов).</w:t>
      </w:r>
    </w:p>
    <w:p w:rsidR="00A52B58" w:rsidRDefault="00A52B58" w:rsidP="006637E1">
      <w:p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A52B58">
        <w:rPr>
          <w:rFonts w:ascii="Times New Roman" w:hAnsi="Times New Roman" w:cs="Times New Roman"/>
          <w:sz w:val="24"/>
          <w:szCs w:val="24"/>
        </w:rPr>
        <w:lastRenderedPageBreak/>
        <w:t>Простые арифметические задачи на определение продолжительности, начала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конца события; на нахождение десятичной дроби от числа. Составные задачи на прямое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обратное приведение к единице; на движение в одном и противоположном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двух тел. Составные задачи, решаемые в 3-4 арифметических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параллелограмма (ромба</w:t>
      </w:r>
      <w:r w:rsidR="001E48A2" w:rsidRPr="00A52B58">
        <w:rPr>
          <w:rFonts w:ascii="Times New Roman" w:hAnsi="Times New Roman" w:cs="Times New Roman"/>
          <w:sz w:val="24"/>
          <w:szCs w:val="24"/>
        </w:rPr>
        <w:t>). Построение</w:t>
      </w:r>
      <w:r w:rsidRPr="00A52B58">
        <w:rPr>
          <w:rFonts w:ascii="Times New Roman" w:hAnsi="Times New Roman" w:cs="Times New Roman"/>
          <w:sz w:val="24"/>
          <w:szCs w:val="24"/>
        </w:rPr>
        <w:t xml:space="preserve"> параллелограмма (ромба</w:t>
      </w:r>
      <w:r w:rsidR="001E48A2" w:rsidRPr="00A52B58">
        <w:rPr>
          <w:rFonts w:ascii="Times New Roman" w:hAnsi="Times New Roman" w:cs="Times New Roman"/>
          <w:sz w:val="24"/>
          <w:szCs w:val="24"/>
        </w:rPr>
        <w:t>). Симметрия</w:t>
      </w:r>
      <w:r w:rsidRPr="00A52B58">
        <w:rPr>
          <w:rFonts w:ascii="Times New Roman" w:hAnsi="Times New Roman" w:cs="Times New Roman"/>
          <w:sz w:val="24"/>
          <w:szCs w:val="24"/>
        </w:rPr>
        <w:t>. Симметричные предметы, геометрические фигуры, ось,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симметрии. Предметы, геометрические фигуры симметрично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>относительно оси, центра симметрии. Построение геометрических фигур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58">
        <w:rPr>
          <w:rFonts w:ascii="Times New Roman" w:hAnsi="Times New Roman" w:cs="Times New Roman"/>
          <w:sz w:val="24"/>
          <w:szCs w:val="24"/>
        </w:rPr>
        <w:t xml:space="preserve">оси и центра симметрии. </w:t>
      </w:r>
    </w:p>
    <w:p w:rsidR="00A52B58" w:rsidRPr="00AE2561" w:rsidRDefault="00A52B58" w:rsidP="00A52B58">
      <w:pPr>
        <w:tabs>
          <w:tab w:val="num" w:pos="900"/>
        </w:tabs>
        <w:rPr>
          <w:rFonts w:ascii="Times New Roman" w:hAnsi="Times New Roman" w:cs="Times New Roman"/>
          <w:i/>
          <w:sz w:val="24"/>
          <w:szCs w:val="24"/>
        </w:rPr>
      </w:pPr>
      <w:r w:rsidRPr="00AE2561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E2561">
        <w:rPr>
          <w:rFonts w:ascii="Times New Roman" w:hAnsi="Times New Roman" w:cs="Times New Roman"/>
          <w:i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Арифметические действия с именованными числами</w:t>
      </w:r>
      <w:r w:rsidRPr="00AE2561">
        <w:rPr>
          <w:rFonts w:ascii="Times New Roman" w:hAnsi="Times New Roman" w:cs="Times New Roman"/>
          <w:i/>
          <w:sz w:val="24"/>
          <w:szCs w:val="24"/>
        </w:rPr>
        <w:t>»</w:t>
      </w:r>
    </w:p>
    <w:p w:rsidR="003A3AD5" w:rsidRPr="00554FF9" w:rsidRDefault="00A52B58" w:rsidP="003A3A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B58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Повторение</w:t>
      </w:r>
      <w:r w:rsidR="003A3AD5" w:rsidRPr="0001725B">
        <w:rPr>
          <w:rStyle w:val="510"/>
          <w:rFonts w:ascii="Times New Roman" w:hAnsi="Times New Roman" w:cs="Times New Roman"/>
          <w:b/>
          <w:sz w:val="24"/>
          <w:szCs w:val="24"/>
        </w:rPr>
        <w:t xml:space="preserve"> </w:t>
      </w:r>
      <w:r w:rsidR="003A3AD5" w:rsidRPr="00554FF9">
        <w:rPr>
          <w:rStyle w:val="510"/>
          <w:rFonts w:ascii="Times New Roman" w:hAnsi="Times New Roman" w:cs="Times New Roman"/>
          <w:i w:val="0"/>
          <w:sz w:val="24"/>
          <w:szCs w:val="24"/>
        </w:rPr>
        <w:t>(1</w:t>
      </w:r>
      <w:r>
        <w:rPr>
          <w:rStyle w:val="510"/>
          <w:rFonts w:ascii="Times New Roman" w:hAnsi="Times New Roman" w:cs="Times New Roman"/>
          <w:i w:val="0"/>
          <w:sz w:val="24"/>
          <w:szCs w:val="24"/>
        </w:rPr>
        <w:t>7</w:t>
      </w:r>
      <w:r w:rsidR="003A3AD5" w:rsidRPr="00554FF9">
        <w:rPr>
          <w:rStyle w:val="510"/>
          <w:rFonts w:ascii="Times New Roman" w:hAnsi="Times New Roman" w:cs="Times New Roman"/>
          <w:i w:val="0"/>
          <w:sz w:val="24"/>
          <w:szCs w:val="24"/>
        </w:rPr>
        <w:t xml:space="preserve"> часов</w:t>
      </w:r>
      <w:r w:rsidR="003A3AD5" w:rsidRPr="00554FF9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EC3308" w:rsidRDefault="00EC3308" w:rsidP="003A3AD5">
      <w:p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EC3308">
        <w:rPr>
          <w:rFonts w:ascii="Times New Roman" w:hAnsi="Times New Roman" w:cs="Times New Roman"/>
          <w:sz w:val="24"/>
          <w:szCs w:val="24"/>
        </w:rPr>
        <w:t>Решение задач на зависимость между скоростью, временем, расстоянием.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08">
        <w:rPr>
          <w:rFonts w:ascii="Times New Roman" w:hAnsi="Times New Roman" w:cs="Times New Roman"/>
          <w:sz w:val="24"/>
          <w:szCs w:val="24"/>
        </w:rPr>
        <w:t>Формулы расчета скорости,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08">
        <w:rPr>
          <w:rFonts w:ascii="Times New Roman" w:hAnsi="Times New Roman" w:cs="Times New Roman"/>
          <w:sz w:val="24"/>
          <w:szCs w:val="24"/>
        </w:rPr>
        <w:t>Таблица классов и разрядов.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08">
        <w:rPr>
          <w:rFonts w:ascii="Times New Roman" w:hAnsi="Times New Roman" w:cs="Times New Roman"/>
          <w:sz w:val="24"/>
          <w:szCs w:val="24"/>
        </w:rPr>
        <w:t>Счет сотнями тысяч в пределах одного миллиона.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08">
        <w:rPr>
          <w:rFonts w:ascii="Times New Roman" w:hAnsi="Times New Roman" w:cs="Times New Roman"/>
          <w:sz w:val="24"/>
          <w:szCs w:val="24"/>
        </w:rPr>
        <w:t>Устное сложение и вычитание сотен тысяч.</w:t>
      </w:r>
    </w:p>
    <w:p w:rsidR="003A3AD5" w:rsidRDefault="003A3AD5" w:rsidP="003A3AD5">
      <w:pPr>
        <w:tabs>
          <w:tab w:val="num" w:pos="900"/>
        </w:tabs>
        <w:rPr>
          <w:rFonts w:ascii="Times New Roman" w:hAnsi="Times New Roman" w:cs="Times New Roman"/>
          <w:i/>
          <w:sz w:val="24"/>
          <w:szCs w:val="24"/>
        </w:rPr>
      </w:pPr>
      <w:r w:rsidRPr="00AE2561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</w:t>
      </w:r>
      <w:r w:rsidR="00A52B58">
        <w:rPr>
          <w:rFonts w:ascii="Times New Roman" w:hAnsi="Times New Roman" w:cs="Times New Roman"/>
          <w:i/>
          <w:sz w:val="24"/>
          <w:szCs w:val="24"/>
        </w:rPr>
        <w:t>4</w:t>
      </w:r>
      <w:r w:rsidRPr="00AE2561">
        <w:rPr>
          <w:rFonts w:ascii="Times New Roman" w:hAnsi="Times New Roman" w:cs="Times New Roman"/>
          <w:i/>
          <w:sz w:val="24"/>
          <w:szCs w:val="24"/>
        </w:rPr>
        <w:t xml:space="preserve"> по теме: «</w:t>
      </w:r>
      <w:r w:rsidR="00A52B58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Решение практико-ориентированных задач</w:t>
      </w:r>
      <w:r w:rsidRPr="00AE2561">
        <w:rPr>
          <w:rFonts w:ascii="Times New Roman" w:hAnsi="Times New Roman" w:cs="Times New Roman"/>
          <w:i/>
          <w:sz w:val="24"/>
          <w:szCs w:val="24"/>
        </w:rPr>
        <w:t>»</w:t>
      </w:r>
    </w:p>
    <w:p w:rsidR="003A3AD5" w:rsidRDefault="003A3AD5" w:rsidP="003A3AD5">
      <w:pPr>
        <w:tabs>
          <w:tab w:val="num" w:pos="900"/>
        </w:tabs>
        <w:rPr>
          <w:rFonts w:ascii="Times New Roman" w:hAnsi="Times New Roman" w:cs="Times New Roman"/>
          <w:i/>
          <w:sz w:val="24"/>
          <w:szCs w:val="24"/>
        </w:rPr>
      </w:pPr>
    </w:p>
    <w:p w:rsidR="00201A57" w:rsidRPr="00AE2561" w:rsidRDefault="00201A57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</w:t>
      </w:r>
      <w:r w:rsidR="00EC330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01A57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 (</w:t>
      </w:r>
      <w:r w:rsidR="00EC3308">
        <w:rPr>
          <w:rFonts w:ascii="Times New Roman" w:hAnsi="Times New Roman" w:cs="Times New Roman"/>
          <w:b/>
          <w:sz w:val="24"/>
          <w:szCs w:val="24"/>
        </w:rPr>
        <w:t>2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554FF9" w:rsidRPr="00AE2561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2866" w:type="dxa"/>
        <w:tblLook w:val="04A0" w:firstRow="1" w:lastRow="0" w:firstColumn="1" w:lastColumn="0" w:noHBand="0" w:noVBand="1"/>
      </w:tblPr>
      <w:tblGrid>
        <w:gridCol w:w="675"/>
        <w:gridCol w:w="5103"/>
        <w:gridCol w:w="3402"/>
        <w:gridCol w:w="3686"/>
      </w:tblGrid>
      <w:tr w:rsidR="00554FF9" w:rsidTr="00554FF9">
        <w:tc>
          <w:tcPr>
            <w:tcW w:w="675" w:type="dxa"/>
          </w:tcPr>
          <w:p w:rsidR="00554FF9" w:rsidRDefault="00554FF9" w:rsidP="003640E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</w:p>
        </w:tc>
        <w:tc>
          <w:tcPr>
            <w:tcW w:w="5103" w:type="dxa"/>
          </w:tcPr>
          <w:p w:rsidR="00554FF9" w:rsidRDefault="00554FF9" w:rsidP="003640E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курса</w:t>
            </w:r>
          </w:p>
        </w:tc>
        <w:tc>
          <w:tcPr>
            <w:tcW w:w="3402" w:type="dxa"/>
          </w:tcPr>
          <w:p w:rsidR="00554FF9" w:rsidRDefault="00554FF9" w:rsidP="003640E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686" w:type="dxa"/>
          </w:tcPr>
          <w:p w:rsidR="00554FF9" w:rsidRDefault="00554FF9" w:rsidP="003640E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к/ работ</w:t>
            </w:r>
          </w:p>
        </w:tc>
      </w:tr>
      <w:tr w:rsidR="00554FF9" w:rsidRPr="00A13E06" w:rsidTr="00554FF9">
        <w:tc>
          <w:tcPr>
            <w:tcW w:w="675" w:type="dxa"/>
          </w:tcPr>
          <w:p w:rsidR="00554FF9" w:rsidRPr="00A13E06" w:rsidRDefault="00554FF9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  <w:tc>
          <w:tcPr>
            <w:tcW w:w="5103" w:type="dxa"/>
          </w:tcPr>
          <w:p w:rsidR="00554FF9" w:rsidRPr="00EC3308" w:rsidRDefault="00EC3308" w:rsidP="00554FF9">
            <w:pPr>
              <w:pStyle w:val="Default"/>
              <w:spacing w:line="276" w:lineRule="auto"/>
            </w:pPr>
            <w:r w:rsidRPr="00EC3308">
              <w:rPr>
                <w:bCs/>
              </w:rPr>
              <w:t>Числа в пределах 100 000 и арифметические действия с ними</w:t>
            </w:r>
          </w:p>
        </w:tc>
        <w:tc>
          <w:tcPr>
            <w:tcW w:w="3402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86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FF9" w:rsidRPr="00A13E06" w:rsidTr="00554FF9">
        <w:trPr>
          <w:trHeight w:val="306"/>
        </w:trPr>
        <w:tc>
          <w:tcPr>
            <w:tcW w:w="675" w:type="dxa"/>
          </w:tcPr>
          <w:p w:rsidR="00554FF9" w:rsidRPr="00A13E06" w:rsidRDefault="00554FF9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</w:t>
            </w:r>
          </w:p>
        </w:tc>
        <w:tc>
          <w:tcPr>
            <w:tcW w:w="5103" w:type="dxa"/>
          </w:tcPr>
          <w:p w:rsidR="00554FF9" w:rsidRPr="00EC3308" w:rsidRDefault="00EC3308" w:rsidP="00554FF9">
            <w:pPr>
              <w:pStyle w:val="Default"/>
              <w:spacing w:line="276" w:lineRule="auto"/>
            </w:pPr>
            <w:r w:rsidRPr="00EC3308">
              <w:rPr>
                <w:spacing w:val="-5"/>
              </w:rPr>
              <w:t>Десятичные дроби</w:t>
            </w:r>
          </w:p>
        </w:tc>
        <w:tc>
          <w:tcPr>
            <w:tcW w:w="3402" w:type="dxa"/>
          </w:tcPr>
          <w:p w:rsidR="00554FF9" w:rsidRPr="00A13E06" w:rsidRDefault="00017187" w:rsidP="00EC330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3308">
              <w:rPr>
                <w:bCs/>
              </w:rPr>
              <w:t>4</w:t>
            </w:r>
          </w:p>
        </w:tc>
        <w:tc>
          <w:tcPr>
            <w:tcW w:w="3686" w:type="dxa"/>
          </w:tcPr>
          <w:p w:rsidR="00554FF9" w:rsidRPr="00A13E06" w:rsidRDefault="00554FF9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</w:tr>
      <w:tr w:rsidR="00554FF9" w:rsidRPr="00A13E06" w:rsidTr="00554FF9">
        <w:tc>
          <w:tcPr>
            <w:tcW w:w="675" w:type="dxa"/>
          </w:tcPr>
          <w:p w:rsidR="00554FF9" w:rsidRPr="00A13E06" w:rsidRDefault="00554FF9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3</w:t>
            </w:r>
          </w:p>
        </w:tc>
        <w:tc>
          <w:tcPr>
            <w:tcW w:w="5103" w:type="dxa"/>
          </w:tcPr>
          <w:p w:rsidR="00554FF9" w:rsidRPr="00EC3308" w:rsidRDefault="00EC3308" w:rsidP="003640E0">
            <w:pPr>
              <w:pStyle w:val="Default"/>
              <w:spacing w:line="276" w:lineRule="auto"/>
              <w:rPr>
                <w:bCs/>
              </w:rPr>
            </w:pPr>
            <w:r w:rsidRPr="00EC3308">
              <w:t>Числа, полученные при измерении величин</w:t>
            </w:r>
          </w:p>
        </w:tc>
        <w:tc>
          <w:tcPr>
            <w:tcW w:w="3402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686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FF9" w:rsidRPr="00A13E06" w:rsidTr="00EC3308">
        <w:trPr>
          <w:trHeight w:val="70"/>
        </w:trPr>
        <w:tc>
          <w:tcPr>
            <w:tcW w:w="675" w:type="dxa"/>
          </w:tcPr>
          <w:p w:rsidR="00554FF9" w:rsidRPr="00A13E06" w:rsidRDefault="00554FF9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4</w:t>
            </w:r>
          </w:p>
        </w:tc>
        <w:tc>
          <w:tcPr>
            <w:tcW w:w="5103" w:type="dxa"/>
          </w:tcPr>
          <w:p w:rsidR="00554FF9" w:rsidRPr="00EC3308" w:rsidRDefault="00EC3308" w:rsidP="003640E0">
            <w:pPr>
              <w:pStyle w:val="Default"/>
              <w:spacing w:line="276" w:lineRule="auto"/>
            </w:pPr>
            <w:r w:rsidRPr="00EC3308">
              <w:rPr>
                <w:rStyle w:val="510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686" w:type="dxa"/>
          </w:tcPr>
          <w:p w:rsidR="00554FF9" w:rsidRPr="00A13E06" w:rsidRDefault="00EC3308" w:rsidP="003640E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637E1" w:rsidRPr="00AE2561" w:rsidRDefault="006637E1" w:rsidP="005128FD">
      <w:pPr>
        <w:rPr>
          <w:rFonts w:ascii="Times New Roman" w:hAnsi="Times New Roman" w:cs="Times New Roman"/>
          <w:sz w:val="24"/>
          <w:szCs w:val="24"/>
        </w:rPr>
      </w:pPr>
    </w:p>
    <w:p w:rsidR="005128FD" w:rsidRDefault="005128FD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308" w:rsidRDefault="00EC3308" w:rsidP="00AE25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EC3308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F6" w:rsidRDefault="005F35F6" w:rsidP="00BA6F24">
      <w:pPr>
        <w:spacing w:after="0"/>
      </w:pPr>
      <w:r>
        <w:separator/>
      </w:r>
    </w:p>
  </w:endnote>
  <w:endnote w:type="continuationSeparator" w:id="0">
    <w:p w:rsidR="005F35F6" w:rsidRDefault="005F35F6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F6" w:rsidRDefault="005F35F6" w:rsidP="00BA6F24">
      <w:pPr>
        <w:spacing w:after="0"/>
      </w:pPr>
      <w:r>
        <w:separator/>
      </w:r>
    </w:p>
  </w:footnote>
  <w:footnote w:type="continuationSeparator" w:id="0">
    <w:p w:rsidR="005F35F6" w:rsidRDefault="005F35F6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1E48A2"/>
    <w:rsid w:val="002012D7"/>
    <w:rsid w:val="00201A57"/>
    <w:rsid w:val="00207928"/>
    <w:rsid w:val="0024097B"/>
    <w:rsid w:val="002C087F"/>
    <w:rsid w:val="002D1083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A03F2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945EF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7E5E87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34A0F"/>
    <w:rsid w:val="00C35FB6"/>
    <w:rsid w:val="00C373EF"/>
    <w:rsid w:val="00C522EF"/>
    <w:rsid w:val="00C545EC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14E1"/>
    <w:rsid w:val="00E15A53"/>
    <w:rsid w:val="00E16188"/>
    <w:rsid w:val="00E34CAC"/>
    <w:rsid w:val="00E43F44"/>
    <w:rsid w:val="00E44871"/>
    <w:rsid w:val="00EC1982"/>
    <w:rsid w:val="00EC3308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5631-F37B-40B3-9698-1BC305DB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127</cp:revision>
  <cp:lastPrinted>2020-01-31T04:48:00Z</cp:lastPrinted>
  <dcterms:created xsi:type="dcterms:W3CDTF">2013-09-12T11:42:00Z</dcterms:created>
  <dcterms:modified xsi:type="dcterms:W3CDTF">2020-02-05T07:52:00Z</dcterms:modified>
</cp:coreProperties>
</file>